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A362" w14:textId="77777777" w:rsidR="0017272D" w:rsidRPr="00917C4B" w:rsidRDefault="0017272D" w:rsidP="00917C4B">
      <w:pPr>
        <w:pStyle w:val="Heading1"/>
        <w:pBdr>
          <w:bottom w:val="single" w:sz="4" w:space="0" w:color="003055" w:themeColor="text1"/>
        </w:pBdr>
        <w:spacing w:before="240" w:after="0"/>
        <w:rPr>
          <w:rFonts w:asciiTheme="majorHAnsi" w:hAnsiTheme="majorHAnsi" w:cstheme="majorHAnsi"/>
          <w:b w:val="0"/>
          <w:color w:val="004066" w:themeColor="accent1" w:themeShade="BF"/>
          <w:sz w:val="20"/>
          <w:szCs w:val="22"/>
        </w:rPr>
      </w:pPr>
      <w:bookmarkStart w:id="0" w:name="_Toc143586611"/>
      <w:r w:rsidRPr="00917C4B">
        <w:rPr>
          <w:rFonts w:asciiTheme="majorHAnsi" w:hAnsiTheme="majorHAnsi" w:cstheme="majorHAnsi"/>
          <w:b w:val="0"/>
          <w:color w:val="004066" w:themeColor="accent1" w:themeShade="BF"/>
          <w:sz w:val="20"/>
          <w:szCs w:val="22"/>
        </w:rPr>
        <w:t>POSITION DESCRIPTION</w:t>
      </w:r>
    </w:p>
    <w:p w14:paraId="3A66C922" w14:textId="77777777" w:rsidR="005C45B1" w:rsidRPr="00917C4B" w:rsidRDefault="005C45B1" w:rsidP="00917C4B">
      <w:pPr>
        <w:keepNext/>
        <w:keepLines/>
        <w:pBdr>
          <w:bottom w:val="single" w:sz="4" w:space="0"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rPr>
      </w:pPr>
      <w:bookmarkStart w:id="1" w:name="_Toc465846333"/>
      <w:r w:rsidRPr="00917C4B">
        <w:rPr>
          <w:rFonts w:ascii="Arial" w:eastAsiaTheme="majorEastAsia" w:hAnsi="Arial" w:cstheme="majorBidi"/>
          <w:b/>
          <w:bCs/>
          <w:caps/>
          <w:color w:val="004066" w:themeColor="accent1" w:themeShade="BF"/>
          <w:sz w:val="26"/>
        </w:rPr>
        <w:t>deputy secretary, Department of homeland security</w:t>
      </w:r>
      <w:bookmarkEnd w:id="1"/>
    </w:p>
    <w:p w14:paraId="143EF1B9" w14:textId="77777777" w:rsidR="00661AE5" w:rsidRPr="00224D1E"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31"/>
        <w:gridCol w:w="6989"/>
      </w:tblGrid>
      <w:tr w:rsidR="005C45B1" w:rsidRPr="00557CD1" w14:paraId="283E9D54" w14:textId="77777777" w:rsidTr="00917C4B">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DCC0DEA" w14:textId="77777777" w:rsidR="005C45B1" w:rsidRPr="00557CD1" w:rsidRDefault="005C45B1" w:rsidP="00721828">
            <w:pPr>
              <w:contextualSpacing/>
              <w:jc w:val="center"/>
              <w:rPr>
                <w:rFonts w:asciiTheme="majorHAnsi" w:hAnsiTheme="majorHAnsi" w:cstheme="majorHAnsi"/>
                <w:b/>
              </w:rPr>
            </w:pPr>
            <w:r w:rsidRPr="00557CD1">
              <w:rPr>
                <w:rFonts w:asciiTheme="majorHAnsi" w:hAnsiTheme="majorHAnsi" w:cstheme="majorHAnsi"/>
                <w:b/>
              </w:rPr>
              <w:t>OVERVIEW</w:t>
            </w:r>
          </w:p>
        </w:tc>
      </w:tr>
      <w:tr w:rsidR="005C45B1" w:rsidRPr="00557CD1" w14:paraId="2853B533"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2678C2"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Senate Committee</w:t>
            </w:r>
          </w:p>
        </w:tc>
        <w:tc>
          <w:tcPr>
            <w:tcW w:w="6989" w:type="dxa"/>
            <w:tcBorders>
              <w:top w:val="single" w:sz="2" w:space="0" w:color="auto"/>
              <w:left w:val="single" w:sz="2" w:space="0" w:color="auto"/>
              <w:bottom w:val="single" w:sz="2" w:space="0" w:color="auto"/>
              <w:right w:val="single" w:sz="2" w:space="0" w:color="auto"/>
            </w:tcBorders>
          </w:tcPr>
          <w:p w14:paraId="2FF36AC4" w14:textId="77777777" w:rsidR="005C45B1" w:rsidRPr="00917C4B" w:rsidRDefault="005C45B1" w:rsidP="00721828">
            <w:pPr>
              <w:contextualSpacing/>
              <w:rPr>
                <w:rFonts w:asciiTheme="majorHAnsi" w:hAnsiTheme="majorHAnsi" w:cstheme="majorHAnsi"/>
                <w:sz w:val="22"/>
                <w:szCs w:val="22"/>
              </w:rPr>
            </w:pPr>
            <w:r w:rsidRPr="00917C4B">
              <w:rPr>
                <w:rFonts w:asciiTheme="majorHAnsi" w:hAnsiTheme="majorHAnsi" w:cstheme="majorHAnsi"/>
                <w:sz w:val="22"/>
                <w:szCs w:val="22"/>
              </w:rPr>
              <w:t xml:space="preserve">Homeland Security and Governmental Affairs </w:t>
            </w:r>
          </w:p>
        </w:tc>
      </w:tr>
      <w:tr w:rsidR="005C45B1" w:rsidRPr="00557CD1" w14:paraId="36C10B00"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E5B30C2"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Agency Mission</w:t>
            </w:r>
          </w:p>
        </w:tc>
        <w:tc>
          <w:tcPr>
            <w:tcW w:w="6989" w:type="dxa"/>
            <w:tcBorders>
              <w:top w:val="single" w:sz="2" w:space="0" w:color="auto"/>
              <w:left w:val="single" w:sz="2" w:space="0" w:color="auto"/>
              <w:bottom w:val="single" w:sz="2" w:space="0" w:color="auto"/>
              <w:right w:val="single" w:sz="2" w:space="0" w:color="auto"/>
            </w:tcBorders>
          </w:tcPr>
          <w:p w14:paraId="7B6A4409" w14:textId="77777777" w:rsidR="005C45B1" w:rsidRPr="00917C4B" w:rsidRDefault="005C45B1" w:rsidP="00721828">
            <w:pPr>
              <w:contextualSpacing/>
              <w:rPr>
                <w:rFonts w:asciiTheme="majorHAnsi" w:hAnsiTheme="majorHAnsi" w:cstheme="majorHAnsi"/>
                <w:bCs/>
                <w:sz w:val="22"/>
                <w:szCs w:val="22"/>
              </w:rPr>
            </w:pPr>
            <w:r w:rsidRPr="00917C4B">
              <w:rPr>
                <w:rFonts w:asciiTheme="majorHAnsi" w:hAnsiTheme="majorHAnsi" w:cstheme="majorHAnsi"/>
                <w:bCs/>
                <w:sz w:val="22"/>
                <w:szCs w:val="22"/>
              </w:rPr>
              <w:t>To ensure that homeland is safe, secure and resilient against terrorism and other potential threats.</w:t>
            </w:r>
          </w:p>
        </w:tc>
      </w:tr>
      <w:tr w:rsidR="005C45B1" w:rsidRPr="00557CD1" w14:paraId="70EA840D"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6CFD10C"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Position Overview</w:t>
            </w:r>
          </w:p>
        </w:tc>
        <w:tc>
          <w:tcPr>
            <w:tcW w:w="6989" w:type="dxa"/>
            <w:tcBorders>
              <w:top w:val="single" w:sz="2" w:space="0" w:color="auto"/>
              <w:left w:val="single" w:sz="2" w:space="0" w:color="auto"/>
              <w:bottom w:val="single" w:sz="2" w:space="0" w:color="auto"/>
              <w:right w:val="single" w:sz="2" w:space="0" w:color="auto"/>
            </w:tcBorders>
          </w:tcPr>
          <w:p w14:paraId="0D938F3B" w14:textId="77777777" w:rsidR="005C45B1" w:rsidRPr="00917C4B" w:rsidRDefault="005C45B1" w:rsidP="00721828">
            <w:pPr>
              <w:contextualSpacing/>
              <w:rPr>
                <w:rFonts w:asciiTheme="majorHAnsi" w:hAnsiTheme="majorHAnsi" w:cstheme="majorHAnsi"/>
                <w:sz w:val="22"/>
                <w:szCs w:val="22"/>
              </w:rPr>
            </w:pPr>
            <w:r w:rsidRPr="00917C4B">
              <w:rPr>
                <w:rFonts w:asciiTheme="majorHAnsi" w:hAnsiTheme="majorHAnsi" w:cstheme="majorHAnsi"/>
                <w:sz w:val="22"/>
                <w:szCs w:val="22"/>
              </w:rPr>
              <w:t>The deputy secretary of Homeland Security is delegated the full power and authority to act for the secretary and exercises the power of the secretary on any and all matters for which the Secretary is authorized pursuant to law.  As Chief Operating Officer, the Deputy is also responsible for day-to-day business and management of operations and personnel.</w:t>
            </w:r>
          </w:p>
        </w:tc>
      </w:tr>
      <w:tr w:rsidR="005C45B1" w:rsidRPr="00557CD1" w14:paraId="7E9C69D9"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D8DAB6" w14:textId="77777777" w:rsidR="005C45B1" w:rsidRPr="00557CD1" w:rsidRDefault="005C45B1" w:rsidP="00721828">
            <w:pPr>
              <w:contextualSpacing/>
              <w:rPr>
                <w:rFonts w:asciiTheme="majorHAnsi" w:hAnsiTheme="majorHAnsi" w:cstheme="majorHAnsi"/>
                <w:i/>
              </w:rPr>
            </w:pPr>
            <w:r w:rsidRPr="00557CD1">
              <w:rPr>
                <w:rFonts w:asciiTheme="majorHAnsi" w:hAnsiTheme="majorHAnsi" w:cstheme="majorHAnsi"/>
              </w:rPr>
              <w:t>Compensation</w:t>
            </w:r>
          </w:p>
        </w:tc>
        <w:tc>
          <w:tcPr>
            <w:tcW w:w="6989" w:type="dxa"/>
            <w:tcBorders>
              <w:top w:val="single" w:sz="2" w:space="0" w:color="auto"/>
              <w:left w:val="single" w:sz="2" w:space="0" w:color="auto"/>
              <w:bottom w:val="single" w:sz="2" w:space="0" w:color="auto"/>
              <w:right w:val="single" w:sz="2" w:space="0" w:color="auto"/>
            </w:tcBorders>
          </w:tcPr>
          <w:p w14:paraId="6D4B58D9" w14:textId="710A87F9" w:rsidR="005C45B1" w:rsidRPr="00917C4B" w:rsidRDefault="0094196F" w:rsidP="000C3571">
            <w:pPr>
              <w:contextualSpacing/>
              <w:rPr>
                <w:rFonts w:asciiTheme="majorHAnsi" w:hAnsiTheme="majorHAnsi" w:cstheme="majorHAnsi"/>
                <w:bCs/>
                <w:sz w:val="22"/>
                <w:szCs w:val="22"/>
              </w:rPr>
            </w:pPr>
            <w:r w:rsidRPr="00917C4B">
              <w:rPr>
                <w:rFonts w:asciiTheme="majorHAnsi" w:hAnsiTheme="majorHAnsi" w:cstheme="majorHAnsi"/>
                <w:bCs/>
                <w:sz w:val="22"/>
                <w:szCs w:val="22"/>
              </w:rPr>
              <w:t xml:space="preserve">Level II </w:t>
            </w:r>
            <w:r w:rsidR="00647217" w:rsidRPr="00917C4B">
              <w:rPr>
                <w:rFonts w:asciiTheme="majorHAnsi" w:hAnsiTheme="majorHAnsi" w:cstheme="majorHAnsi"/>
                <w:bCs/>
                <w:sz w:val="22"/>
                <w:szCs w:val="22"/>
              </w:rPr>
              <w:t>$</w:t>
            </w:r>
            <w:r w:rsidR="008266A3">
              <w:rPr>
                <w:rFonts w:asciiTheme="majorHAnsi" w:hAnsiTheme="majorHAnsi" w:cstheme="majorHAnsi"/>
                <w:bCs/>
                <w:sz w:val="22"/>
                <w:szCs w:val="22"/>
              </w:rPr>
              <w:t>183,100</w:t>
            </w:r>
            <w:r w:rsidR="008266A3">
              <w:rPr>
                <w:rStyle w:val="EndnoteReference"/>
                <w:rFonts w:asciiTheme="majorHAnsi" w:hAnsiTheme="majorHAnsi" w:cstheme="majorHAnsi"/>
                <w:bCs/>
                <w:sz w:val="22"/>
                <w:szCs w:val="22"/>
              </w:rPr>
              <w:endnoteReference w:id="1"/>
            </w:r>
          </w:p>
        </w:tc>
      </w:tr>
      <w:tr w:rsidR="005C45B1" w:rsidRPr="00557CD1" w14:paraId="2D4ECAA1"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95B51F"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Position Reports to</w:t>
            </w:r>
          </w:p>
        </w:tc>
        <w:tc>
          <w:tcPr>
            <w:tcW w:w="6989" w:type="dxa"/>
            <w:tcBorders>
              <w:top w:val="single" w:sz="2" w:space="0" w:color="auto"/>
              <w:left w:val="single" w:sz="2" w:space="0" w:color="auto"/>
              <w:bottom w:val="single" w:sz="2" w:space="0" w:color="auto"/>
              <w:right w:val="single" w:sz="2" w:space="0" w:color="auto"/>
            </w:tcBorders>
          </w:tcPr>
          <w:p w14:paraId="775259DF" w14:textId="77777777" w:rsidR="005C45B1" w:rsidRPr="00917C4B" w:rsidRDefault="005C45B1" w:rsidP="00721828">
            <w:pPr>
              <w:contextualSpacing/>
              <w:rPr>
                <w:rFonts w:asciiTheme="majorHAnsi" w:hAnsiTheme="majorHAnsi" w:cstheme="majorHAnsi"/>
                <w:sz w:val="22"/>
                <w:szCs w:val="22"/>
              </w:rPr>
            </w:pPr>
            <w:r w:rsidRPr="00917C4B">
              <w:rPr>
                <w:rFonts w:asciiTheme="majorHAnsi" w:hAnsiTheme="majorHAnsi" w:cstheme="majorHAnsi"/>
                <w:sz w:val="22"/>
                <w:szCs w:val="22"/>
              </w:rPr>
              <w:t xml:space="preserve">Secretary of Homeland Security </w:t>
            </w:r>
          </w:p>
        </w:tc>
      </w:tr>
      <w:tr w:rsidR="005C45B1" w:rsidRPr="00557CD1" w14:paraId="68DC5199" w14:textId="77777777" w:rsidTr="00917C4B">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2C05DD3" w14:textId="77777777" w:rsidR="005C45B1" w:rsidRPr="00557CD1" w:rsidRDefault="005C45B1" w:rsidP="00721828">
            <w:pPr>
              <w:contextualSpacing/>
              <w:jc w:val="center"/>
              <w:rPr>
                <w:rFonts w:asciiTheme="majorHAnsi" w:hAnsiTheme="majorHAnsi" w:cstheme="majorHAnsi"/>
                <w:b/>
              </w:rPr>
            </w:pPr>
            <w:r w:rsidRPr="00557CD1">
              <w:rPr>
                <w:rFonts w:asciiTheme="majorHAnsi" w:hAnsiTheme="majorHAnsi" w:cstheme="majorHAnsi"/>
                <w:b/>
              </w:rPr>
              <w:t>RESPONSIBILITIES</w:t>
            </w:r>
          </w:p>
        </w:tc>
      </w:tr>
      <w:tr w:rsidR="005C45B1" w:rsidRPr="00557CD1" w14:paraId="1D964EA9"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73354A3"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Management Scope</w:t>
            </w:r>
          </w:p>
        </w:tc>
        <w:tc>
          <w:tcPr>
            <w:tcW w:w="6989" w:type="dxa"/>
            <w:tcBorders>
              <w:top w:val="single" w:sz="2" w:space="0" w:color="auto"/>
              <w:left w:val="single" w:sz="2" w:space="0" w:color="auto"/>
              <w:bottom w:val="single" w:sz="2" w:space="0" w:color="auto"/>
              <w:right w:val="single" w:sz="2" w:space="0" w:color="auto"/>
            </w:tcBorders>
          </w:tcPr>
          <w:p w14:paraId="3742ED4C" w14:textId="2DF71AC9" w:rsidR="005C45B1" w:rsidRPr="006F508C" w:rsidRDefault="00557CD1" w:rsidP="006F508C">
            <w:pPr>
              <w:pStyle w:val="NormalWeb"/>
              <w:rPr>
                <w:rFonts w:asciiTheme="majorHAnsi" w:hAnsiTheme="majorHAnsi" w:cstheme="majorHAnsi"/>
                <w:sz w:val="22"/>
                <w:szCs w:val="22"/>
              </w:rPr>
            </w:pPr>
            <w:r w:rsidRPr="00917C4B">
              <w:rPr>
                <w:rFonts w:asciiTheme="majorHAnsi" w:hAnsiTheme="majorHAnsi" w:cstheme="majorHAnsi"/>
                <w:sz w:val="22"/>
                <w:szCs w:val="22"/>
              </w:rPr>
              <w:t>In fiscal 20</w:t>
            </w:r>
            <w:r w:rsidR="004F612C" w:rsidRPr="00917C4B">
              <w:rPr>
                <w:rFonts w:asciiTheme="majorHAnsi" w:hAnsiTheme="majorHAnsi" w:cstheme="majorHAnsi"/>
                <w:sz w:val="22"/>
                <w:szCs w:val="22"/>
              </w:rPr>
              <w:t>20</w:t>
            </w:r>
            <w:r w:rsidRPr="00917C4B">
              <w:rPr>
                <w:rFonts w:asciiTheme="majorHAnsi" w:hAnsiTheme="majorHAnsi" w:cstheme="majorHAnsi"/>
                <w:sz w:val="22"/>
                <w:szCs w:val="22"/>
              </w:rPr>
              <w:t>, DHS had $</w:t>
            </w:r>
            <w:r w:rsidR="004F612C" w:rsidRPr="006F508C">
              <w:rPr>
                <w:rFonts w:asciiTheme="majorHAnsi" w:hAnsiTheme="majorHAnsi" w:cstheme="majorHAnsi"/>
                <w:sz w:val="22"/>
                <w:szCs w:val="22"/>
              </w:rPr>
              <w:t>92,077,529</w:t>
            </w:r>
            <w:r w:rsidR="004F612C" w:rsidRPr="006F508C">
              <w:rPr>
                <w:rFonts w:asciiTheme="majorHAnsi" w:hAnsiTheme="majorHAnsi" w:cstheme="majorHAnsi"/>
                <w:i/>
                <w:iCs/>
                <w:sz w:val="22"/>
                <w:szCs w:val="22"/>
              </w:rPr>
              <w:t xml:space="preserve"> </w:t>
            </w:r>
            <w:r w:rsidR="00582AB6" w:rsidRPr="006F508C">
              <w:rPr>
                <w:rFonts w:asciiTheme="majorHAnsi" w:hAnsiTheme="majorHAnsi" w:cstheme="majorHAnsi"/>
                <w:sz w:val="22"/>
                <w:szCs w:val="22"/>
              </w:rPr>
              <w:t>m</w:t>
            </w:r>
            <w:r w:rsidRPr="006F508C">
              <w:rPr>
                <w:rFonts w:asciiTheme="majorHAnsi" w:hAnsiTheme="majorHAnsi" w:cstheme="majorHAnsi"/>
                <w:sz w:val="22"/>
                <w:szCs w:val="22"/>
              </w:rPr>
              <w:t xml:space="preserve">illion in </w:t>
            </w:r>
            <w:r w:rsidR="00582AB6" w:rsidRPr="006F508C">
              <w:rPr>
                <w:rFonts w:asciiTheme="majorHAnsi" w:hAnsiTheme="majorHAnsi" w:cstheme="majorHAnsi"/>
                <w:sz w:val="22"/>
                <w:szCs w:val="22"/>
              </w:rPr>
              <w:t xml:space="preserve">budget authority </w:t>
            </w:r>
            <w:r w:rsidRPr="006F508C">
              <w:rPr>
                <w:rFonts w:asciiTheme="majorHAnsi" w:hAnsiTheme="majorHAnsi" w:cstheme="majorHAnsi"/>
                <w:sz w:val="22"/>
                <w:szCs w:val="22"/>
              </w:rPr>
              <w:t xml:space="preserve">and </w:t>
            </w:r>
            <w:r w:rsidR="00582AB6" w:rsidRPr="006F508C">
              <w:rPr>
                <w:rFonts w:asciiTheme="majorHAnsi" w:hAnsiTheme="majorHAnsi" w:cstheme="majorHAnsi"/>
                <w:sz w:val="22"/>
                <w:szCs w:val="22"/>
              </w:rPr>
              <w:t>244,445</w:t>
            </w:r>
            <w:r w:rsidRPr="006F508C">
              <w:rPr>
                <w:rFonts w:asciiTheme="majorHAnsi" w:hAnsiTheme="majorHAnsi" w:cstheme="majorHAnsi"/>
                <w:sz w:val="22"/>
                <w:szCs w:val="22"/>
              </w:rPr>
              <w:t xml:space="preserve"> total employment. </w:t>
            </w:r>
            <w:r w:rsidR="005C45B1" w:rsidRPr="006F508C">
              <w:rPr>
                <w:rFonts w:asciiTheme="majorHAnsi" w:hAnsiTheme="majorHAnsi" w:cstheme="majorHAnsi"/>
                <w:sz w:val="22"/>
                <w:szCs w:val="22"/>
              </w:rPr>
              <w:t>As COO, the deputy secretary will manage people from all over the organization, not just those in his or her direct office.</w:t>
            </w:r>
          </w:p>
        </w:tc>
      </w:tr>
      <w:tr w:rsidR="005C45B1" w:rsidRPr="00557CD1" w14:paraId="1784A859"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5458E7"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Primary Responsibilities</w:t>
            </w:r>
          </w:p>
        </w:tc>
        <w:tc>
          <w:tcPr>
            <w:tcW w:w="6989" w:type="dxa"/>
            <w:tcBorders>
              <w:top w:val="single" w:sz="2" w:space="0" w:color="auto"/>
              <w:left w:val="single" w:sz="2" w:space="0" w:color="auto"/>
              <w:bottom w:val="single" w:sz="2" w:space="0" w:color="auto"/>
              <w:right w:val="single" w:sz="2" w:space="0" w:color="auto"/>
            </w:tcBorders>
          </w:tcPr>
          <w:p w14:paraId="00E34F8B"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Executes the president’s and secretary’s strategic plan for the agency by dealing with the overall operations, managing the individual departments and integrating mission-support functions with program and policy objectives.</w:t>
            </w:r>
          </w:p>
          <w:p w14:paraId="2B6F2EC3"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Works with peers in other agencies, OMB, stakeholders (like local or state governments) and at times Congress.</w:t>
            </w:r>
          </w:p>
          <w:p w14:paraId="6361A935"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Resolves interagency conflict.</w:t>
            </w:r>
          </w:p>
          <w:p w14:paraId="34A54EB4"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Serves as a key advisor to the secretary on all matters pertaining to the agency.</w:t>
            </w:r>
          </w:p>
          <w:p w14:paraId="44C91586"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Ensures that the agency’s components are delivering their programs and services in an effective and efficient manner with integrity.</w:t>
            </w:r>
          </w:p>
          <w:p w14:paraId="714B901E"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Develops and manages complementary internal management processes that coordinate across programs.</w:t>
            </w:r>
          </w:p>
          <w:p w14:paraId="7AE4B1F3"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Represents the secretary in public and private meetings including dealings with the White House, Congress, state governments, trade groups, etc.</w:t>
            </w:r>
          </w:p>
          <w:p w14:paraId="328BBC93"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Oversees internal GPRA processes.</w:t>
            </w:r>
          </w:p>
          <w:p w14:paraId="35CE32A3" w14:textId="77777777"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Works closely with the secretary, chief of staff and CXOs.</w:t>
            </w:r>
          </w:p>
          <w:p w14:paraId="42796BE2" w14:textId="77777777" w:rsidR="005C45B1" w:rsidRPr="006F508C" w:rsidRDefault="005C45B1" w:rsidP="00721828">
            <w:pPr>
              <w:contextualSpacing/>
              <w:rPr>
                <w:rFonts w:asciiTheme="majorHAnsi" w:hAnsiTheme="majorHAnsi" w:cstheme="majorHAnsi"/>
                <w:sz w:val="22"/>
                <w:szCs w:val="22"/>
              </w:rPr>
            </w:pPr>
          </w:p>
          <w:p w14:paraId="472CA0AE" w14:textId="77777777" w:rsidR="005C45B1" w:rsidRPr="006F508C" w:rsidRDefault="005C45B1" w:rsidP="00721828">
            <w:pPr>
              <w:contextualSpacing/>
              <w:rPr>
                <w:rFonts w:asciiTheme="majorHAnsi" w:hAnsiTheme="majorHAnsi" w:cstheme="majorHAnsi"/>
                <w:sz w:val="22"/>
                <w:szCs w:val="22"/>
              </w:rPr>
            </w:pPr>
            <w:r w:rsidRPr="006F508C">
              <w:rPr>
                <w:rFonts w:asciiTheme="majorHAnsi" w:hAnsiTheme="majorHAnsi" w:cstheme="majorHAnsi"/>
                <w:sz w:val="22"/>
                <w:szCs w:val="22"/>
              </w:rPr>
              <w:t>Responsible for overseeing the execution of the department’s core mission areas:</w:t>
            </w:r>
          </w:p>
          <w:p w14:paraId="161D1C6A" w14:textId="4917003D"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Prevent terrorism and enhance our nation’s security</w:t>
            </w:r>
            <w:r w:rsidR="0096691D" w:rsidRPr="006F508C">
              <w:rPr>
                <w:rFonts w:asciiTheme="majorHAnsi" w:hAnsiTheme="majorHAnsi" w:cstheme="majorHAnsi"/>
                <w:sz w:val="22"/>
                <w:szCs w:val="22"/>
              </w:rPr>
              <w:t>.</w:t>
            </w:r>
          </w:p>
          <w:p w14:paraId="75D7C2E1" w14:textId="12710D70"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Secure and manage our borders</w:t>
            </w:r>
            <w:r w:rsidR="0096691D" w:rsidRPr="006F508C">
              <w:rPr>
                <w:rFonts w:asciiTheme="majorHAnsi" w:hAnsiTheme="majorHAnsi" w:cstheme="majorHAnsi"/>
                <w:sz w:val="22"/>
                <w:szCs w:val="22"/>
              </w:rPr>
              <w:t>.</w:t>
            </w:r>
          </w:p>
          <w:p w14:paraId="715C30AA" w14:textId="161D3D09"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Enforce and administer immigration laws</w:t>
            </w:r>
            <w:r w:rsidR="0096691D" w:rsidRPr="006F508C">
              <w:rPr>
                <w:rFonts w:asciiTheme="majorHAnsi" w:hAnsiTheme="majorHAnsi" w:cstheme="majorHAnsi"/>
                <w:sz w:val="22"/>
                <w:szCs w:val="22"/>
              </w:rPr>
              <w:t>.</w:t>
            </w:r>
          </w:p>
          <w:p w14:paraId="78C3DE91" w14:textId="7ABB3059"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lastRenderedPageBreak/>
              <w:t>Safeguard and secure cyberspace</w:t>
            </w:r>
            <w:r w:rsidR="0096691D" w:rsidRPr="006F508C">
              <w:rPr>
                <w:rFonts w:asciiTheme="majorHAnsi" w:hAnsiTheme="majorHAnsi" w:cstheme="majorHAnsi"/>
                <w:sz w:val="22"/>
                <w:szCs w:val="22"/>
              </w:rPr>
              <w:t>.</w:t>
            </w:r>
          </w:p>
          <w:p w14:paraId="0D3E67C6" w14:textId="7A3ABB5E"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Ensure resilience in disasters</w:t>
            </w:r>
            <w:r w:rsidR="0096691D" w:rsidRPr="006F508C">
              <w:rPr>
                <w:rFonts w:asciiTheme="majorHAnsi" w:hAnsiTheme="majorHAnsi" w:cstheme="majorHAnsi"/>
                <w:sz w:val="22"/>
                <w:szCs w:val="22"/>
              </w:rPr>
              <w:t>.</w:t>
            </w:r>
          </w:p>
          <w:p w14:paraId="2E1FDD97" w14:textId="3A32FADD" w:rsidR="005C45B1" w:rsidRPr="006F508C" w:rsidRDefault="005C45B1" w:rsidP="005C45B1">
            <w:pPr>
              <w:numPr>
                <w:ilvl w:val="0"/>
                <w:numId w:val="34"/>
              </w:numPr>
              <w:contextualSpacing/>
              <w:rPr>
                <w:rFonts w:asciiTheme="majorHAnsi" w:hAnsiTheme="majorHAnsi" w:cstheme="majorHAnsi"/>
                <w:sz w:val="22"/>
                <w:szCs w:val="22"/>
              </w:rPr>
            </w:pPr>
            <w:r w:rsidRPr="006F508C">
              <w:rPr>
                <w:rFonts w:asciiTheme="majorHAnsi" w:hAnsiTheme="majorHAnsi" w:cstheme="majorHAnsi"/>
                <w:sz w:val="22"/>
                <w:szCs w:val="22"/>
              </w:rPr>
              <w:t>Provide support to ensure national and economic security</w:t>
            </w:r>
            <w:r w:rsidR="0096691D" w:rsidRPr="006F508C">
              <w:rPr>
                <w:rFonts w:asciiTheme="majorHAnsi" w:hAnsiTheme="majorHAnsi" w:cstheme="majorHAnsi"/>
                <w:sz w:val="22"/>
                <w:szCs w:val="22"/>
              </w:rPr>
              <w:t>.</w:t>
            </w:r>
          </w:p>
        </w:tc>
      </w:tr>
      <w:tr w:rsidR="005C45B1" w:rsidRPr="00557CD1" w14:paraId="1EAF0392"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73B248A"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lastRenderedPageBreak/>
              <w:t>Strategic Goals and Priorities</w:t>
            </w:r>
          </w:p>
        </w:tc>
        <w:tc>
          <w:tcPr>
            <w:tcW w:w="6989" w:type="dxa"/>
            <w:tcBorders>
              <w:top w:val="single" w:sz="2" w:space="0" w:color="auto"/>
              <w:left w:val="single" w:sz="2" w:space="0" w:color="auto"/>
              <w:bottom w:val="single" w:sz="2" w:space="0" w:color="auto"/>
              <w:right w:val="single" w:sz="2" w:space="0" w:color="auto"/>
            </w:tcBorders>
            <w:vAlign w:val="center"/>
          </w:tcPr>
          <w:p w14:paraId="4A619F56" w14:textId="77777777" w:rsidR="005C45B1" w:rsidRPr="006F508C" w:rsidRDefault="005C45B1" w:rsidP="00875651">
            <w:pPr>
              <w:contextualSpacing/>
              <w:rPr>
                <w:rFonts w:asciiTheme="majorHAnsi" w:hAnsiTheme="majorHAnsi" w:cstheme="majorHAnsi"/>
                <w:sz w:val="22"/>
                <w:szCs w:val="22"/>
              </w:rPr>
            </w:pPr>
          </w:p>
          <w:p w14:paraId="5DB48BFE" w14:textId="465E1092" w:rsidR="005C45B1" w:rsidRPr="006F508C" w:rsidRDefault="00875651" w:rsidP="00875651">
            <w:pPr>
              <w:contextualSpacing/>
              <w:jc w:val="center"/>
              <w:rPr>
                <w:rFonts w:asciiTheme="majorHAnsi" w:hAnsiTheme="majorHAnsi" w:cstheme="majorHAnsi"/>
                <w:sz w:val="22"/>
                <w:szCs w:val="22"/>
              </w:rPr>
            </w:pPr>
            <w:r>
              <w:rPr>
                <w:rFonts w:asciiTheme="majorHAnsi" w:hAnsiTheme="majorHAnsi" w:cstheme="majorHAnsi"/>
                <w:sz w:val="22"/>
                <w:szCs w:val="22"/>
              </w:rPr>
              <w:t>[</w:t>
            </w:r>
            <w:r w:rsidR="005C45B1" w:rsidRPr="006F508C">
              <w:rPr>
                <w:rFonts w:asciiTheme="majorHAnsi" w:hAnsiTheme="majorHAnsi" w:cstheme="majorHAnsi"/>
                <w:sz w:val="22"/>
                <w:szCs w:val="22"/>
              </w:rPr>
              <w:t>Depends on the policy priorities of the administration</w:t>
            </w:r>
            <w:r>
              <w:rPr>
                <w:rFonts w:asciiTheme="majorHAnsi" w:hAnsiTheme="majorHAnsi" w:cstheme="majorHAnsi"/>
                <w:sz w:val="22"/>
                <w:szCs w:val="22"/>
              </w:rPr>
              <w:t>.]</w:t>
            </w:r>
          </w:p>
          <w:p w14:paraId="726B6FDA" w14:textId="77777777" w:rsidR="005C45B1" w:rsidRPr="006F508C" w:rsidRDefault="005C45B1" w:rsidP="00721828">
            <w:pPr>
              <w:contextualSpacing/>
              <w:jc w:val="center"/>
              <w:rPr>
                <w:rFonts w:asciiTheme="majorHAnsi" w:hAnsiTheme="majorHAnsi" w:cstheme="majorHAnsi"/>
                <w:sz w:val="22"/>
                <w:szCs w:val="22"/>
              </w:rPr>
            </w:pPr>
          </w:p>
        </w:tc>
      </w:tr>
      <w:tr w:rsidR="005C45B1" w:rsidRPr="00557CD1" w14:paraId="2420236B" w14:textId="77777777" w:rsidTr="00917C4B">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B28B7CE" w14:textId="77777777" w:rsidR="005C45B1" w:rsidRPr="006F508C" w:rsidRDefault="005C45B1" w:rsidP="00721828">
            <w:pPr>
              <w:contextualSpacing/>
              <w:jc w:val="center"/>
              <w:rPr>
                <w:rFonts w:asciiTheme="majorHAnsi" w:hAnsiTheme="majorHAnsi" w:cstheme="majorHAnsi"/>
                <w:b/>
                <w:sz w:val="22"/>
                <w:szCs w:val="22"/>
              </w:rPr>
            </w:pPr>
            <w:r w:rsidRPr="006F508C">
              <w:rPr>
                <w:rFonts w:asciiTheme="majorHAnsi" w:hAnsiTheme="majorHAnsi" w:cstheme="majorHAnsi"/>
                <w:b/>
                <w:sz w:val="22"/>
                <w:szCs w:val="22"/>
              </w:rPr>
              <w:t>REQUIREMENTS AND COMPETENCIES</w:t>
            </w:r>
          </w:p>
        </w:tc>
      </w:tr>
      <w:tr w:rsidR="005C45B1" w:rsidRPr="00557CD1" w14:paraId="666DB05A"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FFB8194"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Requirements</w:t>
            </w:r>
          </w:p>
        </w:tc>
        <w:tc>
          <w:tcPr>
            <w:tcW w:w="6989" w:type="dxa"/>
            <w:tcBorders>
              <w:top w:val="single" w:sz="2" w:space="0" w:color="auto"/>
              <w:left w:val="single" w:sz="2" w:space="0" w:color="auto"/>
              <w:bottom w:val="single" w:sz="2" w:space="0" w:color="auto"/>
              <w:right w:val="single" w:sz="2" w:space="0" w:color="auto"/>
            </w:tcBorders>
          </w:tcPr>
          <w:p w14:paraId="6EA7166E" w14:textId="77777777" w:rsidR="005C45B1" w:rsidRPr="006F508C" w:rsidRDefault="005C45B1" w:rsidP="005C45B1">
            <w:pPr>
              <w:numPr>
                <w:ilvl w:val="0"/>
                <w:numId w:val="31"/>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Proven ability and experience leading and managing a large and complex enterprise</w:t>
            </w:r>
          </w:p>
          <w:p w14:paraId="1B1469FB" w14:textId="50CEB18C" w:rsidR="005C45B1" w:rsidRPr="006F508C" w:rsidRDefault="005C45B1" w:rsidP="005C45B1">
            <w:pPr>
              <w:numPr>
                <w:ilvl w:val="0"/>
                <w:numId w:val="31"/>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Previous experience with federal government enterprise operations</w:t>
            </w:r>
            <w:r w:rsidR="0096691D" w:rsidRPr="006F508C">
              <w:rPr>
                <w:rFonts w:asciiTheme="majorHAnsi" w:eastAsia="Calibri" w:hAnsiTheme="majorHAnsi" w:cstheme="majorHAnsi"/>
                <w:bCs/>
                <w:sz w:val="22"/>
                <w:szCs w:val="22"/>
              </w:rPr>
              <w:t>.</w:t>
            </w:r>
          </w:p>
          <w:p w14:paraId="79328AF0" w14:textId="247E29B8" w:rsidR="005C45B1" w:rsidRPr="006F508C" w:rsidRDefault="005C45B1" w:rsidP="005C45B1">
            <w:pPr>
              <w:numPr>
                <w:ilvl w:val="0"/>
                <w:numId w:val="31"/>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Understanding of core services, programs and initiatives delivered by the agency’s key departments</w:t>
            </w:r>
            <w:r w:rsidR="0096691D" w:rsidRPr="006F508C">
              <w:rPr>
                <w:rFonts w:asciiTheme="majorHAnsi" w:eastAsia="Calibri" w:hAnsiTheme="majorHAnsi" w:cstheme="majorHAnsi"/>
                <w:bCs/>
                <w:sz w:val="22"/>
                <w:szCs w:val="22"/>
              </w:rPr>
              <w:t>.</w:t>
            </w:r>
          </w:p>
          <w:p w14:paraId="23090157" w14:textId="171333DD" w:rsidR="005C45B1" w:rsidRPr="006F508C" w:rsidRDefault="005C45B1" w:rsidP="005C45B1">
            <w:pPr>
              <w:numPr>
                <w:ilvl w:val="0"/>
                <w:numId w:val="31"/>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Experience dealing with high-profile stakeholders</w:t>
            </w:r>
            <w:r w:rsidR="0096691D" w:rsidRPr="006F508C">
              <w:rPr>
                <w:rFonts w:asciiTheme="majorHAnsi" w:eastAsia="Calibri" w:hAnsiTheme="majorHAnsi" w:cstheme="majorHAnsi"/>
                <w:bCs/>
                <w:sz w:val="22"/>
                <w:szCs w:val="22"/>
              </w:rPr>
              <w:t>.</w:t>
            </w:r>
          </w:p>
          <w:p w14:paraId="2B852CAA" w14:textId="56B96BB7" w:rsidR="005C45B1" w:rsidRPr="006F508C" w:rsidRDefault="005C45B1" w:rsidP="005C45B1">
            <w:pPr>
              <w:numPr>
                <w:ilvl w:val="0"/>
                <w:numId w:val="31"/>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Experience leading through unexpected crisis situations preferred</w:t>
            </w:r>
            <w:r w:rsidR="0096691D" w:rsidRPr="006F508C">
              <w:rPr>
                <w:rFonts w:asciiTheme="majorHAnsi" w:eastAsia="Calibri" w:hAnsiTheme="majorHAnsi" w:cstheme="majorHAnsi"/>
                <w:bCs/>
                <w:sz w:val="22"/>
                <w:szCs w:val="22"/>
              </w:rPr>
              <w:t>.</w:t>
            </w:r>
          </w:p>
          <w:p w14:paraId="2F0F493B" w14:textId="226641CB" w:rsidR="005C45B1" w:rsidRPr="006F508C" w:rsidRDefault="005C45B1" w:rsidP="005C45B1">
            <w:pPr>
              <w:numPr>
                <w:ilvl w:val="0"/>
                <w:numId w:val="31"/>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Familiarity with the federal budget process preferred</w:t>
            </w:r>
            <w:r w:rsidR="0096691D" w:rsidRPr="006F508C">
              <w:rPr>
                <w:rFonts w:asciiTheme="majorHAnsi" w:eastAsia="Calibri" w:hAnsiTheme="majorHAnsi" w:cstheme="majorHAnsi"/>
                <w:bCs/>
                <w:sz w:val="22"/>
                <w:szCs w:val="22"/>
              </w:rPr>
              <w:t>.</w:t>
            </w:r>
          </w:p>
          <w:p w14:paraId="78791D3E" w14:textId="7BCB4CCF" w:rsidR="005C45B1" w:rsidRPr="006F508C" w:rsidRDefault="005C45B1" w:rsidP="3B670F40">
            <w:pPr>
              <w:numPr>
                <w:ilvl w:val="0"/>
                <w:numId w:val="31"/>
              </w:numPr>
              <w:contextualSpacing/>
              <w:rPr>
                <w:rFonts w:asciiTheme="majorHAnsi" w:eastAsia="Calibri" w:hAnsiTheme="majorHAnsi" w:cstheme="majorBidi"/>
                <w:b/>
                <w:bCs/>
                <w:sz w:val="22"/>
                <w:szCs w:val="22"/>
              </w:rPr>
            </w:pPr>
            <w:r w:rsidRPr="006F508C">
              <w:rPr>
                <w:rFonts w:asciiTheme="majorHAnsi" w:eastAsia="Calibri" w:hAnsiTheme="majorHAnsi" w:cstheme="majorBidi"/>
                <w:sz w:val="22"/>
                <w:szCs w:val="22"/>
              </w:rPr>
              <w:t xml:space="preserve">Experience and expertise with risk </w:t>
            </w:r>
            <w:r w:rsidR="32A84CFF" w:rsidRPr="006F508C">
              <w:rPr>
                <w:rFonts w:asciiTheme="majorHAnsi" w:eastAsia="Calibri" w:hAnsiTheme="majorHAnsi" w:cstheme="majorBidi"/>
                <w:sz w:val="22"/>
                <w:szCs w:val="22"/>
              </w:rPr>
              <w:t>management.</w:t>
            </w:r>
          </w:p>
          <w:p w14:paraId="5963D84C" w14:textId="644892B5" w:rsidR="005C45B1" w:rsidRPr="006F508C" w:rsidRDefault="005C45B1" w:rsidP="005C45B1">
            <w:pPr>
              <w:numPr>
                <w:ilvl w:val="0"/>
                <w:numId w:val="31"/>
              </w:numPr>
              <w:contextualSpacing/>
              <w:rPr>
                <w:rFonts w:asciiTheme="majorHAnsi" w:eastAsia="Calibri" w:hAnsiTheme="majorHAnsi" w:cstheme="majorHAnsi"/>
                <w:b/>
                <w:bCs/>
                <w:sz w:val="22"/>
                <w:szCs w:val="22"/>
                <w:u w:val="single"/>
              </w:rPr>
            </w:pPr>
            <w:r w:rsidRPr="006F508C">
              <w:rPr>
                <w:rFonts w:asciiTheme="majorHAnsi" w:eastAsia="Calibri" w:hAnsiTheme="majorHAnsi" w:cstheme="majorHAnsi"/>
                <w:bCs/>
                <w:sz w:val="22"/>
                <w:szCs w:val="22"/>
              </w:rPr>
              <w:t>Background and expertise with cyber security threats</w:t>
            </w:r>
            <w:r w:rsidR="0096691D" w:rsidRPr="006F508C">
              <w:rPr>
                <w:rFonts w:asciiTheme="majorHAnsi" w:eastAsia="Calibri" w:hAnsiTheme="majorHAnsi" w:cstheme="majorHAnsi"/>
                <w:bCs/>
                <w:sz w:val="22"/>
                <w:szCs w:val="22"/>
              </w:rPr>
              <w:t>.</w:t>
            </w:r>
          </w:p>
        </w:tc>
      </w:tr>
      <w:tr w:rsidR="005C45B1" w:rsidRPr="00557CD1" w14:paraId="073325FA" w14:textId="77777777" w:rsidTr="00917C4B">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913573F" w14:textId="77777777" w:rsidR="005C45B1" w:rsidRPr="00557CD1" w:rsidRDefault="005C45B1" w:rsidP="00721828">
            <w:pPr>
              <w:contextualSpacing/>
              <w:rPr>
                <w:rFonts w:asciiTheme="majorHAnsi" w:hAnsiTheme="majorHAnsi" w:cstheme="majorHAnsi"/>
              </w:rPr>
            </w:pPr>
            <w:r w:rsidRPr="00557CD1">
              <w:rPr>
                <w:rFonts w:asciiTheme="majorHAnsi" w:hAnsiTheme="majorHAnsi" w:cstheme="majorHAnsi"/>
              </w:rPr>
              <w:t>Competencies</w:t>
            </w:r>
          </w:p>
        </w:tc>
        <w:tc>
          <w:tcPr>
            <w:tcW w:w="6989" w:type="dxa"/>
            <w:tcBorders>
              <w:top w:val="single" w:sz="2" w:space="0" w:color="auto"/>
              <w:left w:val="single" w:sz="2" w:space="0" w:color="auto"/>
              <w:bottom w:val="single" w:sz="2" w:space="0" w:color="auto"/>
              <w:right w:val="single" w:sz="2" w:space="0" w:color="auto"/>
            </w:tcBorders>
          </w:tcPr>
          <w:p w14:paraId="1606CA9B" w14:textId="4F311341" w:rsidR="005C45B1" w:rsidRPr="006F508C" w:rsidRDefault="005C45B1" w:rsidP="005C45B1">
            <w:pPr>
              <w:numPr>
                <w:ilvl w:val="0"/>
                <w:numId w:val="32"/>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Demonstrated ability to resolve conflicts within a large organization</w:t>
            </w:r>
            <w:r w:rsidR="0096691D" w:rsidRPr="006F508C">
              <w:rPr>
                <w:rFonts w:asciiTheme="majorHAnsi" w:eastAsia="Calibri" w:hAnsiTheme="majorHAnsi" w:cstheme="majorHAnsi"/>
                <w:bCs/>
                <w:sz w:val="22"/>
                <w:szCs w:val="22"/>
              </w:rPr>
              <w:t>.</w:t>
            </w:r>
          </w:p>
          <w:p w14:paraId="1D97510F" w14:textId="60DC0A5D" w:rsidR="005C45B1" w:rsidRPr="006F508C" w:rsidRDefault="005C45B1" w:rsidP="005C45B1">
            <w:pPr>
              <w:numPr>
                <w:ilvl w:val="0"/>
                <w:numId w:val="32"/>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Comfort leading and managing in ambiguity, as deputy secretaries</w:t>
            </w:r>
            <w:r w:rsidR="0096691D" w:rsidRPr="006F508C">
              <w:rPr>
                <w:rFonts w:asciiTheme="majorHAnsi" w:eastAsia="Calibri" w:hAnsiTheme="majorHAnsi" w:cstheme="majorHAnsi"/>
                <w:bCs/>
                <w:sz w:val="22"/>
                <w:szCs w:val="22"/>
              </w:rPr>
              <w:t>.</w:t>
            </w:r>
            <w:r w:rsidRPr="006F508C">
              <w:rPr>
                <w:rFonts w:asciiTheme="majorHAnsi" w:eastAsia="Calibri" w:hAnsiTheme="majorHAnsi" w:cstheme="majorHAnsi"/>
                <w:bCs/>
                <w:sz w:val="22"/>
                <w:szCs w:val="22"/>
              </w:rPr>
              <w:t xml:space="preserve"> often have very vague or undefined statutory responsibilities and authorities</w:t>
            </w:r>
            <w:r w:rsidR="0096691D" w:rsidRPr="006F508C">
              <w:rPr>
                <w:rFonts w:asciiTheme="majorHAnsi" w:eastAsia="Calibri" w:hAnsiTheme="majorHAnsi" w:cstheme="majorHAnsi"/>
                <w:bCs/>
                <w:sz w:val="22"/>
                <w:szCs w:val="22"/>
              </w:rPr>
              <w:t>.</w:t>
            </w:r>
          </w:p>
          <w:p w14:paraId="510D817E" w14:textId="748687F2" w:rsidR="005C45B1" w:rsidRPr="006F508C" w:rsidRDefault="005C45B1" w:rsidP="005C45B1">
            <w:pPr>
              <w:numPr>
                <w:ilvl w:val="0"/>
                <w:numId w:val="32"/>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Ability to establish positive relationships with coworkers and external stakeholders</w:t>
            </w:r>
            <w:r w:rsidR="0096691D" w:rsidRPr="006F508C">
              <w:rPr>
                <w:rFonts w:asciiTheme="majorHAnsi" w:eastAsia="Calibri" w:hAnsiTheme="majorHAnsi" w:cstheme="majorHAnsi"/>
                <w:bCs/>
                <w:sz w:val="22"/>
                <w:szCs w:val="22"/>
              </w:rPr>
              <w:t>.</w:t>
            </w:r>
          </w:p>
          <w:p w14:paraId="0E2D9ED6" w14:textId="681A39E9" w:rsidR="005C45B1" w:rsidRPr="006F508C" w:rsidRDefault="005C45B1" w:rsidP="005C45B1">
            <w:pPr>
              <w:numPr>
                <w:ilvl w:val="0"/>
                <w:numId w:val="32"/>
              </w:numPr>
              <w:contextualSpacing/>
              <w:rPr>
                <w:rFonts w:asciiTheme="majorHAnsi" w:eastAsia="Calibri" w:hAnsiTheme="majorHAnsi" w:cstheme="majorHAnsi"/>
                <w:bCs/>
                <w:sz w:val="22"/>
                <w:szCs w:val="22"/>
              </w:rPr>
            </w:pPr>
            <w:r w:rsidRPr="006F508C">
              <w:rPr>
                <w:rFonts w:asciiTheme="majorHAnsi" w:eastAsia="Calibri" w:hAnsiTheme="majorHAnsi" w:cstheme="majorHAnsi"/>
                <w:bCs/>
                <w:sz w:val="22"/>
                <w:szCs w:val="22"/>
              </w:rPr>
              <w:t>Ability to forge strong congressional relationships preferred</w:t>
            </w:r>
            <w:r w:rsidR="0096691D" w:rsidRPr="006F508C">
              <w:rPr>
                <w:rFonts w:asciiTheme="majorHAnsi" w:eastAsia="Calibri" w:hAnsiTheme="majorHAnsi" w:cstheme="majorHAnsi"/>
                <w:bCs/>
                <w:sz w:val="22"/>
                <w:szCs w:val="22"/>
              </w:rPr>
              <w:t>.</w:t>
            </w:r>
          </w:p>
        </w:tc>
      </w:tr>
      <w:bookmarkEnd w:id="0"/>
      <w:tr w:rsidR="005C45B1" w:rsidRPr="00557CD1" w14:paraId="7370DF7E" w14:textId="77777777" w:rsidTr="00917C4B">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0449E11" w14:textId="77777777" w:rsidR="005C45B1" w:rsidRPr="006F508C" w:rsidRDefault="005C45B1" w:rsidP="005C45B1">
            <w:pPr>
              <w:contextualSpacing/>
              <w:jc w:val="center"/>
              <w:rPr>
                <w:rFonts w:asciiTheme="majorHAnsi" w:hAnsiTheme="majorHAnsi" w:cstheme="majorHAnsi"/>
                <w:b/>
                <w:sz w:val="22"/>
                <w:szCs w:val="22"/>
              </w:rPr>
            </w:pPr>
            <w:r w:rsidRPr="006F508C">
              <w:rPr>
                <w:rFonts w:asciiTheme="majorHAnsi" w:hAnsiTheme="majorHAnsi" w:cstheme="majorHAnsi"/>
                <w:b/>
                <w:sz w:val="22"/>
                <w:szCs w:val="22"/>
              </w:rPr>
              <w:t>PAST APPOINTEES</w:t>
            </w:r>
          </w:p>
        </w:tc>
      </w:tr>
      <w:tr w:rsidR="00582AB6" w:rsidRPr="00582AB6" w14:paraId="1F6987D9" w14:textId="77777777" w:rsidTr="00917C4B">
        <w:tc>
          <w:tcPr>
            <w:tcW w:w="9720" w:type="dxa"/>
            <w:gridSpan w:val="2"/>
          </w:tcPr>
          <w:p w14:paraId="17A7E785" w14:textId="7346F572" w:rsidR="00582AB6" w:rsidRPr="006F508C" w:rsidRDefault="00582AB6" w:rsidP="002E1A5E">
            <w:pPr>
              <w:rPr>
                <w:color w:val="000000"/>
                <w:sz w:val="22"/>
                <w:szCs w:val="22"/>
              </w:rPr>
            </w:pPr>
            <w:r w:rsidRPr="006F508C">
              <w:rPr>
                <w:rFonts w:asciiTheme="majorHAnsi" w:hAnsiTheme="majorHAnsi" w:cstheme="majorHAnsi"/>
                <w:sz w:val="22"/>
                <w:szCs w:val="22"/>
              </w:rPr>
              <w:t xml:space="preserve">Elaine C. Duke (2017 to 2018) – </w:t>
            </w:r>
            <w:r w:rsidRPr="006F508C">
              <w:rPr>
                <w:rFonts w:ascii="Arial" w:hAnsi="Arial" w:cs="Arial"/>
                <w:color w:val="000000"/>
                <w:sz w:val="22"/>
                <w:szCs w:val="22"/>
                <w:shd w:val="clear" w:color="auto" w:fill="FFFFFF"/>
              </w:rPr>
              <w:t>Elaine Duke &amp; Associates, LLC; Under Secretary for Management Department of Homeland Security; Deputy Assistant Administrator for Acquisition at the Transportation Security Administration; earlier in her career, Ms. Duke held various positions with the U.S. Department of Defense</w:t>
            </w:r>
          </w:p>
        </w:tc>
      </w:tr>
      <w:tr w:rsidR="005C45B1" w:rsidRPr="00557CD1" w14:paraId="0A833BBE" w14:textId="77777777" w:rsidTr="00917C4B">
        <w:tc>
          <w:tcPr>
            <w:tcW w:w="9720" w:type="dxa"/>
            <w:gridSpan w:val="2"/>
          </w:tcPr>
          <w:p w14:paraId="4C3AE580" w14:textId="77777777" w:rsidR="005C45B1" w:rsidRPr="006F508C" w:rsidRDefault="005C45B1" w:rsidP="002E1A5E">
            <w:pPr>
              <w:contextualSpacing/>
              <w:rPr>
                <w:rFonts w:ascii="Arial" w:hAnsi="Arial" w:cs="Arial"/>
                <w:sz w:val="22"/>
                <w:szCs w:val="22"/>
              </w:rPr>
            </w:pPr>
            <w:r w:rsidRPr="006F508C">
              <w:rPr>
                <w:rFonts w:ascii="Arial" w:hAnsi="Arial" w:cs="Arial"/>
                <w:sz w:val="22"/>
                <w:szCs w:val="22"/>
              </w:rPr>
              <w:t xml:space="preserve">Alejandro Mayorkas (2013 to </w:t>
            </w:r>
            <w:r w:rsidR="002E1A5E" w:rsidRPr="006F508C">
              <w:rPr>
                <w:rFonts w:ascii="Arial" w:hAnsi="Arial" w:cs="Arial"/>
                <w:sz w:val="22"/>
                <w:szCs w:val="22"/>
              </w:rPr>
              <w:t>2017</w:t>
            </w:r>
            <w:r w:rsidRPr="006F508C">
              <w:rPr>
                <w:rFonts w:ascii="Arial" w:hAnsi="Arial" w:cs="Arial"/>
                <w:sz w:val="22"/>
                <w:szCs w:val="22"/>
              </w:rPr>
              <w:t xml:space="preserve">) – </w:t>
            </w:r>
            <w:r w:rsidRPr="006F508C">
              <w:rPr>
                <w:rFonts w:ascii="Arial" w:hAnsi="Arial" w:cs="Arial"/>
                <w:bCs/>
                <w:sz w:val="22"/>
                <w:szCs w:val="22"/>
              </w:rPr>
              <w:t xml:space="preserve">Director of </w:t>
            </w:r>
            <w:r w:rsidRPr="006F508C">
              <w:rPr>
                <w:rFonts w:ascii="Arial" w:eastAsia="Calibri" w:hAnsi="Arial" w:cs="Arial"/>
                <w:bCs/>
                <w:sz w:val="22"/>
                <w:szCs w:val="22"/>
              </w:rPr>
              <w:t>United States Citizenship and Immigration Services</w:t>
            </w:r>
            <w:r w:rsidRPr="006F508C">
              <w:rPr>
                <w:rFonts w:ascii="Arial" w:hAnsi="Arial" w:cs="Arial"/>
                <w:sz w:val="22"/>
                <w:szCs w:val="22"/>
              </w:rPr>
              <w:t>; member of President Obama’s justice Department review team; attorney</w:t>
            </w:r>
          </w:p>
        </w:tc>
      </w:tr>
      <w:tr w:rsidR="005C45B1" w:rsidRPr="00557CD1" w14:paraId="3BE809AF" w14:textId="77777777" w:rsidTr="00917C4B">
        <w:tc>
          <w:tcPr>
            <w:tcW w:w="9720" w:type="dxa"/>
            <w:gridSpan w:val="2"/>
          </w:tcPr>
          <w:p w14:paraId="67978C23" w14:textId="77777777" w:rsidR="005C45B1" w:rsidRPr="006F508C" w:rsidRDefault="005C45B1" w:rsidP="005C45B1">
            <w:pPr>
              <w:contextualSpacing/>
              <w:rPr>
                <w:rFonts w:ascii="Arial" w:hAnsi="Arial" w:cs="Arial"/>
                <w:sz w:val="22"/>
                <w:szCs w:val="22"/>
              </w:rPr>
            </w:pPr>
            <w:r w:rsidRPr="006F508C">
              <w:rPr>
                <w:rFonts w:ascii="Arial" w:hAnsi="Arial" w:cs="Arial"/>
                <w:sz w:val="22"/>
                <w:szCs w:val="22"/>
              </w:rPr>
              <w:t>Jane Holl Lute (2009 to 2013) –</w:t>
            </w:r>
            <w:r w:rsidRPr="006F508C">
              <w:rPr>
                <w:rFonts w:ascii="Arial" w:hAnsi="Arial" w:cs="Arial"/>
                <w:sz w:val="22"/>
                <w:szCs w:val="22"/>
                <w:lang w:val="en"/>
              </w:rPr>
              <w:t xml:space="preserve"> </w:t>
            </w:r>
            <w:r w:rsidRPr="006F508C">
              <w:rPr>
                <w:rFonts w:ascii="Arial" w:eastAsia="Calibri" w:hAnsi="Arial" w:cs="Arial"/>
                <w:sz w:val="22"/>
                <w:szCs w:val="22"/>
                <w:lang w:val="en"/>
              </w:rPr>
              <w:t>United Nations</w:t>
            </w:r>
            <w:r w:rsidRPr="006F508C">
              <w:rPr>
                <w:rFonts w:ascii="Arial" w:hAnsi="Arial" w:cs="Arial"/>
                <w:sz w:val="22"/>
                <w:szCs w:val="22"/>
                <w:lang w:val="en"/>
              </w:rPr>
              <w:t xml:space="preserve"> Assistant Secretary-General for Peacebuilding Support;</w:t>
            </w:r>
            <w:r w:rsidRPr="006F508C">
              <w:rPr>
                <w:rFonts w:ascii="Arial" w:hAnsi="Arial" w:cs="Arial"/>
                <w:sz w:val="22"/>
                <w:szCs w:val="22"/>
                <w:vertAlign w:val="superscript"/>
                <w:lang w:val="en"/>
              </w:rPr>
              <w:t xml:space="preserve"> </w:t>
            </w:r>
            <w:r w:rsidRPr="006F508C">
              <w:rPr>
                <w:rFonts w:ascii="Arial" w:hAnsi="Arial" w:cs="Arial"/>
                <w:sz w:val="22"/>
                <w:szCs w:val="22"/>
                <w:lang w:val="en"/>
              </w:rPr>
              <w:t xml:space="preserve">Assistant Secretary-General for Mission Support in the Department of Peacekeeping Operations; </w:t>
            </w:r>
            <w:r w:rsidRPr="006F508C">
              <w:rPr>
                <w:rFonts w:ascii="Arial" w:hAnsi="Arial" w:cs="Arial"/>
                <w:sz w:val="22"/>
                <w:szCs w:val="22"/>
              </w:rPr>
              <w:t>Second Lieutenant in the Army</w:t>
            </w:r>
          </w:p>
        </w:tc>
      </w:tr>
    </w:tbl>
    <w:p w14:paraId="22D83E6A" w14:textId="78B9C7C4" w:rsidR="008266A3" w:rsidRPr="008266A3" w:rsidRDefault="008266A3" w:rsidP="00875651">
      <w:pPr>
        <w:tabs>
          <w:tab w:val="left" w:pos="7076"/>
        </w:tabs>
        <w:rPr>
          <w:rFonts w:asciiTheme="majorHAnsi" w:hAnsiTheme="majorHAnsi" w:cstheme="majorHAnsi"/>
        </w:rPr>
      </w:pPr>
    </w:p>
    <w:sectPr w:rsidR="008266A3" w:rsidRPr="008266A3" w:rsidSect="00917C4B">
      <w:headerReference w:type="even" r:id="rId11"/>
      <w:headerReference w:type="default" r:id="rId12"/>
      <w:footerReference w:type="even" r:id="rId13"/>
      <w:headerReference w:type="first" r:id="rId14"/>
      <w:footerReference w:type="first" r:id="rId15"/>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8B38" w14:textId="77777777" w:rsidR="007930B8" w:rsidRDefault="007930B8" w:rsidP="001E22F1">
      <w:r>
        <w:separator/>
      </w:r>
    </w:p>
  </w:endnote>
  <w:endnote w:type="continuationSeparator" w:id="0">
    <w:p w14:paraId="0379BCA4" w14:textId="77777777" w:rsidR="007930B8" w:rsidRDefault="007930B8" w:rsidP="001E22F1">
      <w:r>
        <w:continuationSeparator/>
      </w:r>
    </w:p>
  </w:endnote>
  <w:endnote w:id="1">
    <w:p w14:paraId="7D46E69C" w14:textId="77777777" w:rsidR="008266A3" w:rsidRPr="008266A3" w:rsidRDefault="008266A3" w:rsidP="008266A3">
      <w:pPr>
        <w:pStyle w:val="EndnoteText"/>
      </w:pPr>
      <w:r>
        <w:rPr>
          <w:rStyle w:val="EndnoteReference"/>
        </w:rPr>
        <w:endnoteRef/>
      </w:r>
      <w:r>
        <w:t xml:space="preserve"> </w:t>
      </w:r>
      <w:r w:rsidRPr="008266A3">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Pr="008266A3">
          <w:rPr>
            <w:rStyle w:val="Hyperlink"/>
          </w:rPr>
          <w:t>here</w:t>
        </w:r>
      </w:hyperlink>
      <w:r w:rsidRPr="008266A3">
        <w:t>. If you are selected for this position, please consult the agency’s HR representative for further guidance on compensation. </w:t>
      </w:r>
    </w:p>
    <w:p w14:paraId="5B63325D" w14:textId="2409D8B3" w:rsidR="008266A3" w:rsidRDefault="008266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9EE"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1959"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B7B9" w14:textId="77777777" w:rsidR="007930B8" w:rsidRDefault="007930B8" w:rsidP="001E22F1">
      <w:r>
        <w:separator/>
      </w:r>
    </w:p>
  </w:footnote>
  <w:footnote w:type="continuationSeparator" w:id="0">
    <w:p w14:paraId="61212F6E" w14:textId="77777777" w:rsidR="007930B8" w:rsidRDefault="007930B8"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2"/>
      <w:gridCol w:w="3192"/>
      <w:gridCol w:w="3192"/>
    </w:tblGrid>
    <w:tr w:rsidR="3B670F40" w14:paraId="6602C26D" w14:textId="77777777" w:rsidTr="00875651">
      <w:tc>
        <w:tcPr>
          <w:tcW w:w="3192" w:type="dxa"/>
        </w:tcPr>
        <w:p w14:paraId="0905F211" w14:textId="57EE055E" w:rsidR="3B670F40" w:rsidRDefault="3B670F40" w:rsidP="00875651">
          <w:pPr>
            <w:pStyle w:val="Header"/>
            <w:ind w:left="-115"/>
          </w:pPr>
        </w:p>
      </w:tc>
      <w:tc>
        <w:tcPr>
          <w:tcW w:w="3192" w:type="dxa"/>
        </w:tcPr>
        <w:p w14:paraId="616D75F1" w14:textId="65C34832" w:rsidR="3B670F40" w:rsidRDefault="3B670F40" w:rsidP="00875651">
          <w:pPr>
            <w:pStyle w:val="Header"/>
            <w:jc w:val="center"/>
          </w:pPr>
        </w:p>
      </w:tc>
      <w:tc>
        <w:tcPr>
          <w:tcW w:w="3192" w:type="dxa"/>
        </w:tcPr>
        <w:p w14:paraId="743E8BC5" w14:textId="4205A1C3" w:rsidR="3B670F40" w:rsidRDefault="3B670F40" w:rsidP="00875651">
          <w:pPr>
            <w:pStyle w:val="Header"/>
            <w:ind w:right="-115"/>
            <w:jc w:val="right"/>
          </w:pPr>
        </w:p>
      </w:tc>
    </w:tr>
  </w:tbl>
  <w:p w14:paraId="71C1FAC8" w14:textId="7963A049" w:rsidR="3B670F40" w:rsidRDefault="3B670F40" w:rsidP="00875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E7F5"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0B1E" w14:textId="71943416" w:rsidR="00B30DE2" w:rsidRPr="00B91FBD" w:rsidRDefault="00B91FBD" w:rsidP="00875651">
    <w:pPr>
      <w:pStyle w:val="Header"/>
      <w:ind w:hanging="360"/>
    </w:pPr>
    <w:r>
      <w:rPr>
        <w:rFonts w:ascii="Arial" w:hAnsi="Arial" w:cs="Arial"/>
        <w:noProof/>
      </w:rPr>
      <w:drawing>
        <wp:inline distT="0" distB="0" distL="0" distR="0" wp14:anchorId="5D9F2F5E" wp14:editId="61E48D23">
          <wp:extent cx="3156155" cy="358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345" cy="365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093C"/>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34D2"/>
    <w:rsid w:val="000C3571"/>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E1A5E"/>
    <w:rsid w:val="002F119A"/>
    <w:rsid w:val="002F204D"/>
    <w:rsid w:val="002F2F32"/>
    <w:rsid w:val="0030193E"/>
    <w:rsid w:val="00321F38"/>
    <w:rsid w:val="00330ACB"/>
    <w:rsid w:val="00331394"/>
    <w:rsid w:val="003317A8"/>
    <w:rsid w:val="003353C5"/>
    <w:rsid w:val="003454E5"/>
    <w:rsid w:val="00347F97"/>
    <w:rsid w:val="003538AA"/>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4F612C"/>
    <w:rsid w:val="00500B8F"/>
    <w:rsid w:val="00514128"/>
    <w:rsid w:val="00521CF6"/>
    <w:rsid w:val="00526017"/>
    <w:rsid w:val="0053247E"/>
    <w:rsid w:val="00532578"/>
    <w:rsid w:val="00532BE2"/>
    <w:rsid w:val="00535C17"/>
    <w:rsid w:val="0055292D"/>
    <w:rsid w:val="00557CD1"/>
    <w:rsid w:val="00562761"/>
    <w:rsid w:val="0056287D"/>
    <w:rsid w:val="00564475"/>
    <w:rsid w:val="005676B7"/>
    <w:rsid w:val="00572669"/>
    <w:rsid w:val="00574039"/>
    <w:rsid w:val="00577F0A"/>
    <w:rsid w:val="00582AB6"/>
    <w:rsid w:val="0058599E"/>
    <w:rsid w:val="005B0C70"/>
    <w:rsid w:val="005B44AE"/>
    <w:rsid w:val="005C45B1"/>
    <w:rsid w:val="005D4099"/>
    <w:rsid w:val="005D5806"/>
    <w:rsid w:val="005D5F5A"/>
    <w:rsid w:val="005E6E2F"/>
    <w:rsid w:val="005F2771"/>
    <w:rsid w:val="006013AB"/>
    <w:rsid w:val="00602B9F"/>
    <w:rsid w:val="00603EFC"/>
    <w:rsid w:val="00622F39"/>
    <w:rsid w:val="0063039C"/>
    <w:rsid w:val="00635D16"/>
    <w:rsid w:val="00637430"/>
    <w:rsid w:val="00647217"/>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508C"/>
    <w:rsid w:val="006F68A3"/>
    <w:rsid w:val="007043CA"/>
    <w:rsid w:val="0072243C"/>
    <w:rsid w:val="007237FA"/>
    <w:rsid w:val="00732A91"/>
    <w:rsid w:val="00732DC9"/>
    <w:rsid w:val="00736EC8"/>
    <w:rsid w:val="00737980"/>
    <w:rsid w:val="00741D94"/>
    <w:rsid w:val="007467DF"/>
    <w:rsid w:val="00756A61"/>
    <w:rsid w:val="00757BC3"/>
    <w:rsid w:val="00760A88"/>
    <w:rsid w:val="00762481"/>
    <w:rsid w:val="0076444F"/>
    <w:rsid w:val="007872BC"/>
    <w:rsid w:val="007930B8"/>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66A3"/>
    <w:rsid w:val="008271A8"/>
    <w:rsid w:val="00833527"/>
    <w:rsid w:val="00836810"/>
    <w:rsid w:val="00843FE7"/>
    <w:rsid w:val="00845BCF"/>
    <w:rsid w:val="008529C3"/>
    <w:rsid w:val="0085653B"/>
    <w:rsid w:val="00860EC5"/>
    <w:rsid w:val="00867383"/>
    <w:rsid w:val="008744A6"/>
    <w:rsid w:val="00875651"/>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17C4B"/>
    <w:rsid w:val="009241DC"/>
    <w:rsid w:val="009320AA"/>
    <w:rsid w:val="00932702"/>
    <w:rsid w:val="0094196F"/>
    <w:rsid w:val="0094517E"/>
    <w:rsid w:val="00962B37"/>
    <w:rsid w:val="009630CC"/>
    <w:rsid w:val="0096330D"/>
    <w:rsid w:val="00966696"/>
    <w:rsid w:val="0096691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1FBD"/>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645C5"/>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32A84CFF"/>
    <w:rsid w:val="39042639"/>
    <w:rsid w:val="3B670F40"/>
    <w:rsid w:val="6679B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B88C68"/>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B6"/>
    <w:rPr>
      <w:rFonts w:eastAsia="Times New Roman"/>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eastAsia="Calibri"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rPr>
      <w:rFonts w:eastAsia="Calibri"/>
      <w:sz w:val="22"/>
      <w:szCs w:val="22"/>
    </w:r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style>
  <w:style w:type="paragraph" w:styleId="Header">
    <w:name w:val="header"/>
    <w:basedOn w:val="Normal"/>
    <w:link w:val="HeaderChar"/>
    <w:unhideWhenUsed/>
    <w:rsid w:val="001E22F1"/>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rPr>
      <w:rFonts w:eastAsia="Calibri"/>
      <w:sz w:val="22"/>
      <w:szCs w:val="22"/>
    </w:r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rFonts w:eastAsia="Calibri"/>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sz w:val="18"/>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hAnsi="Helvetica"/>
      <w:sz w:val="18"/>
    </w:rPr>
  </w:style>
  <w:style w:type="paragraph" w:customStyle="1" w:styleId="StyleArialRightAfter0ptLinespacingsingle">
    <w:name w:val="Style Arial Right After:  0 pt Line spacing:  single"/>
    <w:basedOn w:val="Normal"/>
    <w:rsid w:val="000F3659"/>
    <w:pPr>
      <w:jc w:val="right"/>
    </w:pPr>
    <w:rPr>
      <w:rFonts w:ascii="Arial" w:hAnsi="Arial"/>
      <w:sz w:val="18"/>
      <w:szCs w:val="20"/>
    </w:rPr>
  </w:style>
  <w:style w:type="paragraph" w:styleId="TOC2">
    <w:name w:val="toc 2"/>
    <w:basedOn w:val="Normal"/>
    <w:next w:val="Normal"/>
    <w:autoRedefine/>
    <w:rsid w:val="000F3659"/>
    <w:pPr>
      <w:spacing w:after="160" w:line="240" w:lineRule="exact"/>
      <w:ind w:left="180"/>
    </w:pPr>
    <w:rPr>
      <w:rFonts w:ascii="Helvetica" w:hAnsi="Helvetica"/>
      <w:sz w:val="18"/>
    </w:rPr>
  </w:style>
  <w:style w:type="paragraph" w:styleId="TOC3">
    <w:name w:val="toc 3"/>
    <w:basedOn w:val="Normal"/>
    <w:next w:val="Normal"/>
    <w:autoRedefine/>
    <w:rsid w:val="000F3659"/>
    <w:pPr>
      <w:spacing w:after="160" w:line="240" w:lineRule="exact"/>
      <w:ind w:left="360"/>
    </w:pPr>
    <w:rPr>
      <w:rFonts w:ascii="Helvetica" w:hAnsi="Helvetica"/>
      <w:sz w:val="18"/>
    </w:rPr>
  </w:style>
  <w:style w:type="paragraph" w:styleId="BodyTextIndent2">
    <w:name w:val="Body Text Indent 2"/>
    <w:basedOn w:val="Normal"/>
    <w:link w:val="BodyTextIndent2Char"/>
    <w:rsid w:val="000F3659"/>
    <w:pPr>
      <w:widowControl w:val="0"/>
      <w:spacing w:line="240" w:lineRule="atLeast"/>
      <w:ind w:left="720"/>
    </w:pPr>
    <w:rPr>
      <w:rFonts w:ascii="Arial"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hAnsi="Helvetica"/>
      <w:color w:val="808080"/>
      <w:sz w:val="1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hAnsi="Arial"/>
      <w:i/>
      <w:iCs/>
      <w:sz w:val="22"/>
      <w:szCs w:val="22"/>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eastAsia="Calibri"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rFonts w:eastAsia="Calibri"/>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rFonts w:eastAsia="Calibri"/>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paragraph" w:styleId="Revision">
    <w:name w:val="Revision"/>
    <w:hidden/>
    <w:semiHidden/>
    <w:rsid w:val="008266A3"/>
    <w:rPr>
      <w:rFonts w:eastAsia="Times New Roman"/>
    </w:rPr>
  </w:style>
  <w:style w:type="character" w:styleId="UnresolvedMention">
    <w:name w:val="Unresolved Mention"/>
    <w:basedOn w:val="DefaultParagraphFont"/>
    <w:uiPriority w:val="99"/>
    <w:semiHidden/>
    <w:unhideWhenUsed/>
    <w:rsid w:val="0082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6389">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72378380">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81092">
      <w:bodyDiv w:val="1"/>
      <w:marLeft w:val="0"/>
      <w:marRight w:val="0"/>
      <w:marTop w:val="0"/>
      <w:marBottom w:val="0"/>
      <w:divBdr>
        <w:top w:val="none" w:sz="0" w:space="0" w:color="auto"/>
        <w:left w:val="none" w:sz="0" w:space="0" w:color="auto"/>
        <w:bottom w:val="none" w:sz="0" w:space="0" w:color="auto"/>
        <w:right w:val="none" w:sz="0" w:space="0" w:color="auto"/>
      </w:divBdr>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691099341">
      <w:bodyDiv w:val="1"/>
      <w:marLeft w:val="0"/>
      <w:marRight w:val="0"/>
      <w:marTop w:val="0"/>
      <w:marBottom w:val="0"/>
      <w:divBdr>
        <w:top w:val="none" w:sz="0" w:space="0" w:color="auto"/>
        <w:left w:val="none" w:sz="0" w:space="0" w:color="auto"/>
        <w:bottom w:val="none" w:sz="0" w:space="0" w:color="auto"/>
        <w:right w:val="none" w:sz="0" w:space="0" w:color="auto"/>
      </w:divBdr>
    </w:div>
    <w:div w:id="1764254799">
      <w:bodyDiv w:val="1"/>
      <w:marLeft w:val="0"/>
      <w:marRight w:val="0"/>
      <w:marTop w:val="0"/>
      <w:marBottom w:val="0"/>
      <w:divBdr>
        <w:top w:val="none" w:sz="0" w:space="0" w:color="auto"/>
        <w:left w:val="none" w:sz="0" w:space="0" w:color="auto"/>
        <w:bottom w:val="none" w:sz="0" w:space="0" w:color="auto"/>
        <w:right w:val="none" w:sz="0" w:space="0" w:color="auto"/>
      </w:divBdr>
    </w:div>
    <w:div w:id="1795321386">
      <w:bodyDiv w:val="1"/>
      <w:marLeft w:val="0"/>
      <w:marRight w:val="0"/>
      <w:marTop w:val="0"/>
      <w:marBottom w:val="0"/>
      <w:divBdr>
        <w:top w:val="none" w:sz="0" w:space="0" w:color="auto"/>
        <w:left w:val="none" w:sz="0" w:space="0" w:color="auto"/>
        <w:bottom w:val="none" w:sz="0" w:space="0" w:color="auto"/>
        <w:right w:val="none" w:sz="0" w:space="0" w:color="auto"/>
      </w:divBdr>
      <w:divsChild>
        <w:div w:id="1536381327">
          <w:marLeft w:val="0"/>
          <w:marRight w:val="0"/>
          <w:marTop w:val="0"/>
          <w:marBottom w:val="0"/>
          <w:divBdr>
            <w:top w:val="none" w:sz="0" w:space="0" w:color="auto"/>
            <w:left w:val="none" w:sz="0" w:space="0" w:color="auto"/>
            <w:bottom w:val="none" w:sz="0" w:space="0" w:color="auto"/>
            <w:right w:val="none" w:sz="0" w:space="0" w:color="auto"/>
          </w:divBdr>
          <w:divsChild>
            <w:div w:id="1311205619">
              <w:marLeft w:val="0"/>
              <w:marRight w:val="0"/>
              <w:marTop w:val="0"/>
              <w:marBottom w:val="0"/>
              <w:divBdr>
                <w:top w:val="none" w:sz="0" w:space="0" w:color="auto"/>
                <w:left w:val="none" w:sz="0" w:space="0" w:color="auto"/>
                <w:bottom w:val="none" w:sz="0" w:space="0" w:color="auto"/>
                <w:right w:val="none" w:sz="0" w:space="0" w:color="auto"/>
              </w:divBdr>
              <w:divsChild>
                <w:div w:id="16589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1856">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23816-8B46-4404-B97C-F42799AF71D2}">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54e98812-b12a-4504-b572-6fcfe8934f27"/>
    <ds:schemaRef ds:uri="http://purl.org/dc/dcmitype/"/>
    <ds:schemaRef ds:uri="http://purl.org/dc/elements/1.1/"/>
    <ds:schemaRef ds:uri="b768acbd-dc7f-4a24-9e54-842e7572793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41850D1-027B-4484-9E99-63D366F2662F}">
  <ds:schemaRefs>
    <ds:schemaRef ds:uri="http://schemas.openxmlformats.org/officeDocument/2006/bibliography"/>
  </ds:schemaRefs>
</ds:datastoreItem>
</file>

<file path=customXml/itemProps3.xml><?xml version="1.0" encoding="utf-8"?>
<ds:datastoreItem xmlns:ds="http://schemas.openxmlformats.org/officeDocument/2006/customXml" ds:itemID="{89BB6B40-6B87-49D2-9F24-842E20F0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8</cp:revision>
  <cp:lastPrinted>2016-07-12T18:00:00Z</cp:lastPrinted>
  <dcterms:created xsi:type="dcterms:W3CDTF">2020-04-10T14:24:00Z</dcterms:created>
  <dcterms:modified xsi:type="dcterms:W3CDTF">2021-05-04T13:09:00Z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